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  <w:lang w:eastAsia="zh-CN"/>
        </w:rPr>
      </w:pPr>
      <w:bookmarkStart w:id="0" w:name="heading_1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中国工程科技知识中心转段论证项目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比选采购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文件</w:t>
      </w:r>
    </w:p>
    <w:p>
      <w:pPr>
        <w:spacing w:before="320" w:after="120" w:line="288" w:lineRule="auto"/>
        <w:outlineLvl w:val="1"/>
        <w:rPr>
          <w:rFonts w:ascii="宋体" w:hAnsi="宋体" w:eastAsia="宋体" w:cs="宋体"/>
          <w:lang w:eastAsia="zh-CN"/>
        </w:rPr>
      </w:pPr>
      <w:bookmarkStart w:id="1" w:name="heading_9"/>
      <w:r>
        <w:rPr>
          <w:rFonts w:hint="eastAsia" w:ascii="宋体" w:hAnsi="宋体" w:eastAsia="宋体" w:cs="宋体"/>
          <w:b/>
          <w:sz w:val="32"/>
          <w:lang w:eastAsia="zh-CN"/>
        </w:rPr>
        <w:t>一、</w:t>
      </w:r>
      <w:bookmarkEnd w:id="1"/>
      <w:r>
        <w:rPr>
          <w:rFonts w:hint="eastAsia" w:ascii="宋体" w:hAnsi="宋体" w:eastAsia="宋体" w:cs="宋体"/>
          <w:b/>
          <w:sz w:val="32"/>
          <w:lang w:eastAsia="zh-CN"/>
        </w:rPr>
        <w:t>项目采购基本情况</w:t>
      </w:r>
    </w:p>
    <w:p>
      <w:pPr>
        <w:spacing w:before="300" w:after="120" w:line="288" w:lineRule="auto"/>
        <w:outlineLvl w:val="2"/>
        <w:rPr>
          <w:rFonts w:ascii="宋体" w:hAnsi="宋体" w:eastAsia="宋体" w:cs="宋体"/>
          <w:lang w:eastAsia="zh-CN"/>
        </w:rPr>
      </w:pPr>
      <w:bookmarkStart w:id="2" w:name="heading_10"/>
      <w:r>
        <w:rPr>
          <w:rFonts w:hint="eastAsia" w:ascii="宋体" w:hAnsi="宋体" w:eastAsia="宋体" w:cs="宋体"/>
          <w:b/>
          <w:sz w:val="30"/>
          <w:lang w:eastAsia="zh-CN"/>
        </w:rPr>
        <w:t>（一）项目背景</w:t>
      </w:r>
      <w:bookmarkEnd w:id="2"/>
    </w:p>
    <w:p>
      <w:pPr>
        <w:spacing w:before="120" w:after="120"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中国工程科技知识中心是国家工程科技领域公益性、开放式资源集成和知识服务平台。面对新形势、新需求、新挑战，知识中心项目在资源、技术、服务和治理层面还存在瓶颈，难以完全适应人工智能时代知识服务模式的深刻变革，在智能化、开放性、用户体验等方面存在差距。下一步，知识中心项目将聚焦中国工程院主责主业，全面提升服务水平，加快实现知识中心项目由建设转入运营服务。</w:t>
      </w:r>
    </w:p>
    <w:p>
      <w:pPr>
        <w:spacing w:before="120" w:after="120"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(1)聚焦主责主业，为中国工程院高端智库建设提供信息情报和知识服务</w:t>
      </w:r>
    </w:p>
    <w:p>
      <w:pPr>
        <w:spacing w:before="120" w:after="120"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聚焦中国工程院主责主业，汇聚自有特色资源。围绕战略咨询研究项目管理和研究支撑、院士队伍建设和管理服务，建设一体化信息支撑平台；面向科技决策支持，建立感知和信息获取能力，强化开源信息与现有高质量知识的整合，建设开源情报平台及服务体系；强化人工智能与咨询研究理论方法的结合，建设行业大模型基座及智能应用建设。围绕业务系统建设中国工程院自有特色资源。加强对知识中心特色资源的遴选，形成高质量工程科技数据集。建设数据资源处理及加工能力。</w:t>
      </w:r>
    </w:p>
    <w:p>
      <w:pPr>
        <w:spacing w:before="120" w:after="120"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</w:t>
      </w:r>
      <w:r>
        <w:rPr>
          <w:rFonts w:hint="default" w:ascii="宋体" w:hAnsi="宋体" w:eastAsia="宋体" w:cs="宋体"/>
          <w:lang w:val="en" w:eastAsia="zh-CN"/>
        </w:rPr>
        <w:t>2</w:t>
      </w:r>
      <w:r>
        <w:rPr>
          <w:rFonts w:hint="eastAsia" w:ascii="宋体" w:hAnsi="宋体" w:eastAsia="宋体" w:cs="宋体"/>
          <w:lang w:eastAsia="zh-CN"/>
        </w:rPr>
        <w:t>)持续建设工程科技领域国家级公益服务平台，赋能经济社会发展</w:t>
      </w:r>
    </w:p>
    <w:p>
      <w:pPr>
        <w:spacing w:before="120" w:after="120"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构建新型知识服务联盟，实现项目的可持续运营发展。在现有知识中心平台基础上，对平台进行全新改版升级，链接知识中心及支持单位已建的资源、服务、平台，通过接口、链接等形式进行统一汇聚，优化平台原有的一站式服务模式，转为统一发现平台，继续面向公众提供公益性服务。持续面向社会提供学术交流直播平台，形成工程科技领域独有的学术活动资源池，塑造高端学术品牌，助力中国工程院发挥学术引领作用。</w:t>
      </w:r>
    </w:p>
    <w:p>
      <w:pPr>
        <w:spacing w:before="300" w:after="120" w:line="288" w:lineRule="auto"/>
        <w:outlineLvl w:val="2"/>
        <w:rPr>
          <w:rFonts w:ascii="宋体" w:hAnsi="宋体" w:eastAsia="宋体" w:cs="宋体"/>
          <w:lang w:eastAsia="zh-CN"/>
        </w:rPr>
      </w:pPr>
      <w:bookmarkStart w:id="3" w:name="heading_11"/>
      <w:r>
        <w:rPr>
          <w:rFonts w:hint="eastAsia" w:ascii="宋体" w:hAnsi="宋体" w:eastAsia="宋体" w:cs="宋体"/>
          <w:b/>
          <w:sz w:val="30"/>
          <w:lang w:eastAsia="zh-CN"/>
        </w:rPr>
        <w:t>（二）采购单位</w:t>
      </w:r>
      <w:bookmarkEnd w:id="3"/>
    </w:p>
    <w:p>
      <w:pPr>
        <w:spacing w:before="120" w:after="120" w:line="288" w:lineRule="auto"/>
        <w:ind w:firstLine="48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中国工程院战略咨询中心</w:t>
      </w:r>
    </w:p>
    <w:p>
      <w:pPr>
        <w:spacing w:before="300" w:after="120" w:line="288" w:lineRule="auto"/>
        <w:outlineLvl w:val="2"/>
        <w:rPr>
          <w:rFonts w:ascii="宋体" w:hAnsi="宋体" w:eastAsia="宋体" w:cs="宋体"/>
          <w:lang w:eastAsia="zh-CN"/>
        </w:rPr>
      </w:pPr>
      <w:bookmarkStart w:id="4" w:name="heading_12"/>
      <w:r>
        <w:rPr>
          <w:rFonts w:hint="eastAsia" w:ascii="宋体" w:hAnsi="宋体" w:eastAsia="宋体" w:cs="宋体"/>
          <w:b/>
          <w:sz w:val="30"/>
          <w:lang w:eastAsia="zh-CN"/>
        </w:rPr>
        <w:t>（三）项目预算</w:t>
      </w:r>
      <w:bookmarkEnd w:id="4"/>
    </w:p>
    <w:p>
      <w:pPr>
        <w:spacing w:before="120" w:after="120" w:line="360" w:lineRule="auto"/>
        <w:ind w:firstLine="48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本项目预算总额为人民币50万元（含税），超出项目预算的响应按无效处理。</w:t>
      </w:r>
    </w:p>
    <w:p>
      <w:pPr>
        <w:spacing w:before="300" w:after="120" w:line="288" w:lineRule="auto"/>
        <w:outlineLvl w:val="2"/>
        <w:rPr>
          <w:rFonts w:ascii="宋体" w:hAnsi="宋体" w:eastAsia="宋体" w:cs="宋体"/>
          <w:lang w:eastAsia="zh-CN"/>
        </w:rPr>
      </w:pPr>
      <w:bookmarkStart w:id="5" w:name="heading_13"/>
      <w:r>
        <w:rPr>
          <w:rFonts w:hint="eastAsia" w:ascii="宋体" w:hAnsi="宋体" w:eastAsia="宋体" w:cs="宋体"/>
          <w:b/>
          <w:sz w:val="30"/>
          <w:lang w:eastAsia="zh-CN"/>
        </w:rPr>
        <w:t>（四）服务周期</w:t>
      </w:r>
      <w:bookmarkEnd w:id="5"/>
    </w:p>
    <w:p>
      <w:pPr>
        <w:spacing w:before="120" w:after="120" w:line="360" w:lineRule="auto"/>
        <w:ind w:firstLine="48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自合同签订之日起至2026年</w:t>
      </w:r>
      <w:r>
        <w:rPr>
          <w:rFonts w:ascii="宋体" w:hAnsi="宋体" w:eastAsia="宋体" w:cs="宋体"/>
          <w:lang w:val="en" w:eastAsia="zh-CN"/>
        </w:rPr>
        <w:t>3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ascii="宋体" w:hAnsi="宋体" w:eastAsia="宋体" w:cs="宋体"/>
          <w:lang w:val="en" w:eastAsia="zh-CN"/>
        </w:rPr>
        <w:t>31</w:t>
      </w:r>
      <w:r>
        <w:rPr>
          <w:rFonts w:hint="eastAsia" w:ascii="宋体" w:hAnsi="宋体" w:eastAsia="宋体" w:cs="宋体"/>
          <w:lang w:eastAsia="zh-CN"/>
        </w:rPr>
        <w:t>日，完成全部成果交付并通过采购人组织的验收。</w:t>
      </w:r>
    </w:p>
    <w:p>
      <w:pPr>
        <w:spacing w:before="300" w:after="120" w:line="288" w:lineRule="auto"/>
        <w:outlineLvl w:val="2"/>
        <w:rPr>
          <w:rFonts w:ascii="宋体" w:hAnsi="宋体" w:eastAsia="宋体" w:cs="宋体"/>
          <w:lang w:eastAsia="zh-CN"/>
        </w:rPr>
      </w:pPr>
      <w:bookmarkStart w:id="6" w:name="heading_14"/>
      <w:r>
        <w:rPr>
          <w:rFonts w:hint="eastAsia" w:ascii="宋体" w:hAnsi="宋体" w:eastAsia="宋体" w:cs="宋体"/>
          <w:b/>
          <w:sz w:val="30"/>
          <w:lang w:eastAsia="zh-CN"/>
        </w:rPr>
        <w:t>（五）适用范围</w:t>
      </w:r>
      <w:bookmarkEnd w:id="6"/>
    </w:p>
    <w:p>
      <w:pPr>
        <w:spacing w:before="120" w:after="120" w:line="360" w:lineRule="auto"/>
        <w:ind w:firstLine="48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本比选文件适用于本次项目的供应商报名、响应、评审及合同签订等全过程。</w:t>
      </w:r>
    </w:p>
    <w:p>
      <w:pPr>
        <w:spacing w:before="320" w:after="120" w:line="288" w:lineRule="auto"/>
        <w:outlineLvl w:val="1"/>
        <w:rPr>
          <w:rFonts w:ascii="宋体" w:hAnsi="宋体" w:eastAsia="宋体" w:cs="宋体"/>
          <w:lang w:eastAsia="zh-CN"/>
        </w:rPr>
      </w:pPr>
      <w:bookmarkStart w:id="7" w:name="heading_15"/>
      <w:r>
        <w:rPr>
          <w:rFonts w:hint="eastAsia" w:ascii="宋体" w:hAnsi="宋体" w:eastAsia="宋体" w:cs="宋体"/>
          <w:b/>
          <w:sz w:val="32"/>
          <w:lang w:eastAsia="zh-CN"/>
        </w:rPr>
        <w:t>二、采购内容及技术要求</w:t>
      </w:r>
      <w:bookmarkEnd w:id="7"/>
    </w:p>
    <w:p>
      <w:pPr>
        <w:spacing w:before="300" w:after="120" w:line="288" w:lineRule="auto"/>
        <w:outlineLvl w:val="2"/>
        <w:rPr>
          <w:rFonts w:ascii="宋体" w:hAnsi="宋体" w:eastAsia="宋体" w:cs="宋体"/>
        </w:rPr>
      </w:pPr>
      <w:bookmarkStart w:id="8" w:name="heading_17"/>
      <w:r>
        <w:rPr>
          <w:rFonts w:hint="eastAsia" w:ascii="宋体" w:hAnsi="宋体" w:eastAsia="宋体" w:cs="宋体"/>
          <w:b/>
          <w:sz w:val="30"/>
        </w:rPr>
        <w:t>（</w:t>
      </w:r>
      <w:r>
        <w:rPr>
          <w:rFonts w:hint="eastAsia" w:ascii="宋体" w:hAnsi="宋体" w:eastAsia="宋体" w:cs="宋体"/>
          <w:b/>
          <w:sz w:val="30"/>
          <w:lang w:eastAsia="zh-CN"/>
        </w:rPr>
        <w:t>一</w:t>
      </w:r>
      <w:r>
        <w:rPr>
          <w:rFonts w:hint="eastAsia" w:ascii="宋体" w:hAnsi="宋体" w:eastAsia="宋体" w:cs="宋体"/>
          <w:b/>
          <w:sz w:val="30"/>
        </w:rPr>
        <w:t>）交付成果要求</w:t>
      </w:r>
      <w:bookmarkEnd w:id="8"/>
    </w:p>
    <w:p>
      <w:pPr>
        <w:numPr>
          <w:ilvl w:val="0"/>
          <w:numId w:val="1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科学谋划项目未来发展目标定位，梳理核心业务需求，设计合理的技术框架，形成《知识中心项目转段需求方案》。</w:t>
      </w:r>
    </w:p>
    <w:p>
      <w:pPr>
        <w:numPr>
          <w:ilvl w:val="0"/>
          <w:numId w:val="1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搭建展示核心业务场景与交互逻辑的概念演示原型（Demo），实现方案的可视化呈现与验证。</w:t>
      </w:r>
    </w:p>
    <w:p>
      <w:pPr>
        <w:spacing w:before="300" w:after="120" w:line="288" w:lineRule="auto"/>
        <w:outlineLvl w:val="2"/>
        <w:rPr>
          <w:rFonts w:ascii="宋体" w:hAnsi="宋体" w:eastAsia="宋体" w:cs="宋体"/>
        </w:rPr>
      </w:pPr>
      <w:bookmarkStart w:id="9" w:name="heading_18"/>
      <w:r>
        <w:rPr>
          <w:rFonts w:hint="eastAsia" w:ascii="宋体" w:hAnsi="宋体" w:eastAsia="宋体" w:cs="宋体"/>
          <w:b/>
          <w:sz w:val="30"/>
        </w:rPr>
        <w:t>（</w:t>
      </w:r>
      <w:r>
        <w:rPr>
          <w:rFonts w:hint="eastAsia" w:ascii="宋体" w:hAnsi="宋体" w:eastAsia="宋体" w:cs="宋体"/>
          <w:b/>
          <w:sz w:val="30"/>
          <w:lang w:eastAsia="zh-CN"/>
        </w:rPr>
        <w:t>二</w:t>
      </w:r>
      <w:r>
        <w:rPr>
          <w:rFonts w:hint="eastAsia" w:ascii="宋体" w:hAnsi="宋体" w:eastAsia="宋体" w:cs="宋体"/>
          <w:b/>
          <w:sz w:val="30"/>
        </w:rPr>
        <w:t>）服务质量要求</w:t>
      </w:r>
      <w:bookmarkEnd w:id="9"/>
    </w:p>
    <w:p>
      <w:pPr>
        <w:numPr>
          <w:ilvl w:val="0"/>
          <w:numId w:val="2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成果需符合项目</w:t>
      </w:r>
      <w:r>
        <w:rPr>
          <w:rFonts w:hint="eastAsia" w:asciiTheme="minorEastAsia" w:hAnsiTheme="minorEastAsia" w:eastAsiaTheme="minorEastAsia"/>
          <w:lang w:eastAsia="zh-CN"/>
        </w:rPr>
        <w:t>转段要求</w:t>
      </w:r>
      <w:r>
        <w:rPr>
          <w:rFonts w:hint="eastAsia" w:ascii="宋体" w:hAnsi="宋体" w:eastAsia="宋体" w:cs="宋体"/>
          <w:lang w:eastAsia="zh-CN"/>
        </w:rPr>
        <w:t>，具备前瞻性与可操作性；</w:t>
      </w:r>
    </w:p>
    <w:p>
      <w:pPr>
        <w:numPr>
          <w:ilvl w:val="0"/>
          <w:numId w:val="2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原型需覆盖核心业务场景，支持基础交互，与方案深度匹配；</w:t>
      </w:r>
    </w:p>
    <w:p>
      <w:pPr>
        <w:numPr>
          <w:ilvl w:val="0"/>
          <w:numId w:val="2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服务过程中需保持高频沟通，按采购人要求提交阶段进展报告。</w:t>
      </w:r>
    </w:p>
    <w:p>
      <w:pPr>
        <w:spacing w:before="320" w:after="120" w:line="288" w:lineRule="auto"/>
        <w:outlineLvl w:val="1"/>
        <w:rPr>
          <w:rFonts w:ascii="宋体" w:hAnsi="宋体" w:eastAsia="宋体" w:cs="宋体"/>
        </w:rPr>
      </w:pPr>
      <w:bookmarkStart w:id="10" w:name="heading_19"/>
      <w:r>
        <w:rPr>
          <w:rFonts w:hint="eastAsia" w:ascii="宋体" w:hAnsi="宋体" w:eastAsia="宋体" w:cs="宋体"/>
          <w:b/>
          <w:sz w:val="32"/>
        </w:rPr>
        <w:t>三、供应商资格要求</w:t>
      </w:r>
      <w:bookmarkEnd w:id="10"/>
    </w:p>
    <w:p>
      <w:pPr>
        <w:numPr>
          <w:ilvl w:val="0"/>
          <w:numId w:val="3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具有独立法人资格，持有有效营业执照（或事业单位法人证书）；</w:t>
      </w:r>
    </w:p>
    <w:p>
      <w:pPr>
        <w:numPr>
          <w:ilvl w:val="0"/>
          <w:numId w:val="3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具备近3年（2023年1月1日至今）类似信息化平台开发、咨询、方案设计项目业绩（需提供合同关键页复印件加盖公章）；</w:t>
      </w:r>
    </w:p>
    <w:p>
      <w:pPr>
        <w:numPr>
          <w:ilvl w:val="0"/>
          <w:numId w:val="3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未被列入“信用中国”网站失信被执行人、重大税收违法失信主体名单；</w:t>
      </w:r>
    </w:p>
    <w:p>
      <w:pPr>
        <w:numPr>
          <w:ilvl w:val="0"/>
          <w:numId w:val="3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本项目不接受联合体响应，不允许分包、转包。</w:t>
      </w:r>
    </w:p>
    <w:p>
      <w:pPr>
        <w:spacing w:before="320" w:after="120" w:line="288" w:lineRule="auto"/>
        <w:outlineLvl w:val="1"/>
        <w:rPr>
          <w:rFonts w:ascii="宋体" w:hAnsi="宋体" w:eastAsia="宋体" w:cs="宋体"/>
          <w:lang w:eastAsia="zh-CN"/>
        </w:rPr>
      </w:pPr>
      <w:bookmarkStart w:id="11" w:name="heading_20"/>
      <w:r>
        <w:rPr>
          <w:rFonts w:hint="eastAsia" w:ascii="宋体" w:hAnsi="宋体" w:eastAsia="宋体" w:cs="宋体"/>
          <w:b/>
          <w:sz w:val="32"/>
          <w:lang w:eastAsia="zh-CN"/>
        </w:rPr>
        <w:t>四、响应文件编制及提交</w:t>
      </w:r>
      <w:bookmarkEnd w:id="11"/>
    </w:p>
    <w:p>
      <w:pPr>
        <w:spacing w:before="300" w:after="120" w:line="288" w:lineRule="auto"/>
        <w:outlineLvl w:val="2"/>
        <w:rPr>
          <w:rFonts w:ascii="宋体" w:hAnsi="宋体" w:eastAsia="宋体" w:cs="宋体"/>
        </w:rPr>
      </w:pPr>
      <w:bookmarkStart w:id="12" w:name="heading_21"/>
      <w:r>
        <w:rPr>
          <w:rFonts w:hint="eastAsia" w:ascii="宋体" w:hAnsi="宋体" w:eastAsia="宋体" w:cs="宋体"/>
          <w:b/>
          <w:sz w:val="30"/>
        </w:rPr>
        <w:t>（一）响应文件组成</w:t>
      </w:r>
      <w:bookmarkEnd w:id="12"/>
    </w:p>
    <w:p>
      <w:pPr>
        <w:numPr>
          <w:ilvl w:val="0"/>
          <w:numId w:val="4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报价函（加盖公章，明确总报价、含税单价等，格式详见附件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eastAsia="zh-CN"/>
        </w:rPr>
        <w:t>）；</w:t>
      </w:r>
    </w:p>
    <w:p>
      <w:pPr>
        <w:numPr>
          <w:ilvl w:val="0"/>
          <w:numId w:val="4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技术方案（含项目实施计划、调研思路、方案设计框架、原型开发规划、质量保障措施等）；</w:t>
      </w:r>
    </w:p>
    <w:p>
      <w:pPr>
        <w:numPr>
          <w:ilvl w:val="0"/>
          <w:numId w:val="4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资格证明文件（营业执照、业绩证明、信用查询截图等，并加盖公章）；</w:t>
      </w:r>
    </w:p>
    <w:p>
      <w:pPr>
        <w:numPr>
          <w:ilvl w:val="0"/>
          <w:numId w:val="4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项目团队配置（团队成员简历、相关资质证书，明确项目负责人）；</w:t>
      </w:r>
    </w:p>
    <w:p>
      <w:pPr>
        <w:numPr>
          <w:ilvl w:val="0"/>
          <w:numId w:val="4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服务承诺（含交付时限、售后服务、保密承诺等）。</w:t>
      </w:r>
    </w:p>
    <w:p>
      <w:pPr>
        <w:spacing w:before="300" w:after="120" w:line="288" w:lineRule="auto"/>
        <w:outlineLvl w:val="2"/>
        <w:rPr>
          <w:rFonts w:ascii="宋体" w:hAnsi="宋体" w:eastAsia="宋体" w:cs="宋体"/>
        </w:rPr>
      </w:pPr>
      <w:bookmarkStart w:id="13" w:name="heading_22"/>
      <w:r>
        <w:rPr>
          <w:rFonts w:hint="eastAsia" w:ascii="宋体" w:hAnsi="宋体" w:eastAsia="宋体" w:cs="宋体"/>
          <w:b/>
          <w:sz w:val="30"/>
        </w:rPr>
        <w:t>（二）文件编制要求</w:t>
      </w:r>
      <w:bookmarkEnd w:id="13"/>
    </w:p>
    <w:p>
      <w:pPr>
        <w:numPr>
          <w:ilvl w:val="0"/>
          <w:numId w:val="5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响应文件需按上述顺序装订成册，正本1份、副本2份，封面注明“正本/副本”“项目名称”“供应商名称”并加盖公章；</w:t>
      </w:r>
    </w:p>
    <w:p>
      <w:pPr>
        <w:numPr>
          <w:ilvl w:val="0"/>
          <w:numId w:val="5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电子版响应文件（PDF格式）存储于U盘中，与纸质文件一并提交；</w:t>
      </w:r>
    </w:p>
    <w:p>
      <w:pPr>
        <w:numPr>
          <w:ilvl w:val="0"/>
          <w:numId w:val="5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所有文件需真实有效，若发现虚假材料，立即取消响应资格。</w:t>
      </w:r>
    </w:p>
    <w:p>
      <w:pPr>
        <w:spacing w:before="300" w:after="120" w:line="288" w:lineRule="auto"/>
        <w:outlineLvl w:val="2"/>
        <w:rPr>
          <w:rFonts w:ascii="宋体" w:hAnsi="宋体" w:eastAsia="宋体" w:cs="宋体"/>
        </w:rPr>
      </w:pPr>
      <w:bookmarkStart w:id="14" w:name="heading_23"/>
      <w:r>
        <w:rPr>
          <w:rFonts w:hint="eastAsia" w:ascii="宋体" w:hAnsi="宋体" w:eastAsia="宋体" w:cs="宋体"/>
          <w:b/>
          <w:sz w:val="30"/>
        </w:rPr>
        <w:t>（三）提交要求</w:t>
      </w:r>
      <w:bookmarkEnd w:id="14"/>
    </w:p>
    <w:p>
      <w:pPr>
        <w:numPr>
          <w:ilvl w:val="0"/>
          <w:numId w:val="6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提交截止时间：2026年</w:t>
      </w:r>
      <w:r>
        <w:rPr>
          <w:rFonts w:ascii="宋体" w:hAnsi="宋体" w:eastAsia="宋体" w:cs="宋体"/>
          <w:lang w:val="en" w:eastAsia="zh-CN"/>
        </w:rPr>
        <w:t>2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hint="default" w:ascii="宋体" w:hAnsi="宋体" w:eastAsia="宋体" w:cs="宋体"/>
          <w:lang w:val="en" w:eastAsia="zh-CN"/>
        </w:rPr>
        <w:t>7</w:t>
      </w:r>
      <w:r>
        <w:rPr>
          <w:rFonts w:hint="eastAsia" w:ascii="宋体" w:hAnsi="宋体" w:eastAsia="宋体" w:cs="宋体"/>
          <w:lang w:eastAsia="zh-CN"/>
        </w:rPr>
        <w:t>日17:00</w:t>
      </w:r>
      <w:r>
        <w:rPr>
          <w:rFonts w:hint="eastAsia" w:eastAsia="宋体"/>
          <w:u w:val="single"/>
          <w:lang w:eastAsia="zh-CN"/>
        </w:rPr>
        <w:t>（逾期提交无效）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numPr>
          <w:ilvl w:val="0"/>
          <w:numId w:val="6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提交地点：北京市西城区冰窖口胡同2号。</w:t>
      </w:r>
      <w:bookmarkStart w:id="21" w:name="_GoBack"/>
      <w:bookmarkEnd w:id="21"/>
    </w:p>
    <w:p>
      <w:pPr>
        <w:spacing w:before="120" w:after="120" w:line="360" w:lineRule="auto"/>
        <w:ind w:firstLine="42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联系人：齐老师</w:t>
      </w:r>
    </w:p>
    <w:p>
      <w:pPr>
        <w:spacing w:before="120" w:after="120" w:line="360" w:lineRule="auto"/>
        <w:ind w:firstLine="420"/>
        <w:rPr>
          <w:rFonts w:ascii="宋体" w:hAnsi="宋体" w:eastAsia="宋体" w:cs="宋体"/>
          <w:lang w:val="en" w:eastAsia="zh-CN"/>
        </w:rPr>
      </w:pPr>
      <w:r>
        <w:rPr>
          <w:rFonts w:hint="eastAsia" w:ascii="宋体" w:hAnsi="宋体" w:eastAsia="宋体" w:cs="宋体"/>
          <w:lang w:eastAsia="zh-CN"/>
        </w:rPr>
        <w:t>联系电话：</w:t>
      </w:r>
      <w:r>
        <w:rPr>
          <w:rFonts w:ascii="宋体" w:hAnsi="宋体" w:eastAsia="宋体" w:cs="宋体"/>
          <w:lang w:val="en" w:eastAsia="zh-CN"/>
        </w:rPr>
        <w:t>59300148</w:t>
      </w:r>
    </w:p>
    <w:p>
      <w:pPr>
        <w:numPr>
          <w:ilvl w:val="0"/>
          <w:numId w:val="6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逾期未提交、未按要求编制或未密封的响应文件，采购人有权拒收。</w:t>
      </w:r>
    </w:p>
    <w:p>
      <w:pPr>
        <w:spacing w:before="320" w:after="120" w:line="288" w:lineRule="auto"/>
        <w:outlineLvl w:val="1"/>
        <w:rPr>
          <w:rFonts w:ascii="宋体" w:hAnsi="宋体" w:eastAsia="宋体" w:cs="宋体"/>
          <w:lang w:eastAsia="zh-CN"/>
        </w:rPr>
      </w:pPr>
      <w:bookmarkStart w:id="15" w:name="heading_24"/>
      <w:r>
        <w:rPr>
          <w:rFonts w:hint="eastAsia" w:ascii="宋体" w:hAnsi="宋体" w:eastAsia="宋体" w:cs="宋体"/>
          <w:b/>
          <w:sz w:val="32"/>
          <w:lang w:eastAsia="zh-CN"/>
        </w:rPr>
        <w:t>五、评审办法</w:t>
      </w:r>
      <w:bookmarkEnd w:id="15"/>
    </w:p>
    <w:p>
      <w:pPr>
        <w:spacing w:before="300" w:after="120" w:line="288" w:lineRule="auto"/>
        <w:outlineLvl w:val="2"/>
        <w:rPr>
          <w:rFonts w:ascii="宋体" w:hAnsi="宋体" w:eastAsia="宋体" w:cs="宋体"/>
          <w:lang w:eastAsia="zh-CN"/>
        </w:rPr>
      </w:pPr>
      <w:bookmarkStart w:id="16" w:name="heading_25"/>
      <w:r>
        <w:rPr>
          <w:rFonts w:hint="eastAsia" w:ascii="宋体" w:hAnsi="宋体" w:eastAsia="宋体" w:cs="宋体"/>
          <w:b/>
          <w:sz w:val="30"/>
          <w:lang w:eastAsia="zh-CN"/>
        </w:rPr>
        <w:t>（一）评审原则</w:t>
      </w:r>
      <w:bookmarkEnd w:id="16"/>
    </w:p>
    <w:p>
      <w:pPr>
        <w:spacing w:before="120" w:after="120" w:line="360" w:lineRule="auto"/>
        <w:ind w:firstLine="48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遵循“公平、公正、科学、择优”原则，由3名专家组成评审组，独立评分并汇总结果。</w:t>
      </w:r>
    </w:p>
    <w:p>
      <w:pPr>
        <w:numPr>
          <w:ilvl w:val="0"/>
          <w:numId w:val="7"/>
        </w:numPr>
        <w:spacing w:before="300" w:after="120" w:line="288" w:lineRule="auto"/>
        <w:outlineLvl w:val="2"/>
        <w:rPr>
          <w:rFonts w:ascii="宋体" w:hAnsi="宋体" w:eastAsia="宋体" w:cs="宋体"/>
          <w:b/>
          <w:sz w:val="30"/>
        </w:rPr>
      </w:pPr>
      <w:bookmarkStart w:id="17" w:name="heading_26"/>
      <w:r>
        <w:rPr>
          <w:rFonts w:hint="eastAsia" w:ascii="宋体" w:hAnsi="宋体" w:eastAsia="宋体" w:cs="宋体"/>
          <w:b/>
          <w:sz w:val="30"/>
        </w:rPr>
        <w:t>评分标准（总分100分）</w:t>
      </w:r>
      <w:bookmarkEnd w:id="17"/>
    </w:p>
    <w:p>
      <w:pPr>
        <w:rPr>
          <w:rFonts w:ascii="宋体" w:hAnsi="宋体" w:eastAsia="宋体" w:cs="宋体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28"/>
        <w:gridCol w:w="2260"/>
        <w:gridCol w:w="693"/>
        <w:gridCol w:w="42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因素</w:t>
            </w:r>
          </w:p>
        </w:tc>
        <w:tc>
          <w:tcPr>
            <w:tcW w:w="566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指标</w:t>
            </w:r>
          </w:p>
        </w:tc>
        <w:tc>
          <w:tcPr>
            <w:tcW w:w="1134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评审要点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2126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得分区间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40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价格15%</w:t>
            </w:r>
          </w:p>
        </w:tc>
        <w:tc>
          <w:tcPr>
            <w:tcW w:w="566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比选报价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（15分）</w:t>
            </w:r>
          </w:p>
        </w:tc>
        <w:tc>
          <w:tcPr>
            <w:tcW w:w="113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符合比选技术要求，初步评审合格，最低的比选报价为评标基准价，其价格得分为满分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12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比选报价得分=（评标基准价/比选报价）×15%×100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商务25%</w:t>
            </w:r>
          </w:p>
        </w:tc>
        <w:tc>
          <w:tcPr>
            <w:tcW w:w="566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1134" w:type="pct"/>
            <w:vMerge w:val="restar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具备近3年（2023年1月1日至今）类似信息化平台开发、咨询、方案设计项目业绩</w:t>
            </w:r>
          </w:p>
        </w:tc>
        <w:tc>
          <w:tcPr>
            <w:tcW w:w="347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12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同类项目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合同或任务书证明材料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3项及以上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5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6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7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同类项目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合同或任务书证明材料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2项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05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6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7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同类项目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合同或任务书证明材料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1项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05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6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7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未承担同类项目，得0分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405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6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113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团队人员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是否主持过同类项目或具有同类项目工作经历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12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1.本项目人员配置2名具有正高级以上职称的专家的，提供2人及以上的得6分，提供1人3分。</w:t>
            </w:r>
          </w:p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2.本项目技术人员具备相关项目经验。主持或参与过相关项目2项及以上得4分，主持过同类项目1项得2分。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05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技术60%</w:t>
            </w:r>
          </w:p>
        </w:tc>
        <w:tc>
          <w:tcPr>
            <w:tcW w:w="56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需求分析（10分）</w:t>
            </w:r>
          </w:p>
        </w:tc>
        <w:tc>
          <w:tcPr>
            <w:tcW w:w="113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针对知识中心转段核心诉求进行深入的需求分析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12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精准把握知识中心转段核心诉求，结合平台现状与公益服务定位，需求分析全面深入，能精准识别核心痛点及优化方向，得8-10分；</w:t>
            </w:r>
          </w:p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基本理解项目需求，分析较为全面，能识别主要痛点，但针对性、深度略有不足，得5-7分；</w:t>
            </w:r>
          </w:p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对项目需求理解模糊，分析片面，未结合平台实际，无法匹配核心诉求，得0-4分。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05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6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技术方案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0分）</w:t>
            </w:r>
          </w:p>
        </w:tc>
        <w:tc>
          <w:tcPr>
            <w:tcW w:w="113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提供的技术方案是否满足需求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212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技术方案整体优秀，调研思路、方案设计、原型开发规划及实施计划、质量保障措施均科学合理、贴合项目需求，可操作性极强，得26-40分；</w:t>
            </w:r>
          </w:p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技术方案整体可行，核心内容基本满足项目要求，部分细节需优化，可操作性一般，得11-25分：</w:t>
            </w:r>
          </w:p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技术方案整体欠佳，核心逻辑不清晰，无法支撑项目顺利开展，可操作性差，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得1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-10分；</w:t>
            </w:r>
          </w:p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技术方案整体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差，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无法支撑项目开展，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得0分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05" w:type="pct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6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服务承诺（10分）</w:t>
            </w:r>
          </w:p>
        </w:tc>
        <w:tc>
          <w:tcPr>
            <w:tcW w:w="113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交付时限保障、售后服务响应速度、保密承诺完整性等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126" w:type="pct"/>
            <w:vAlign w:val="center"/>
          </w:tcPr>
          <w:tbl>
            <w:tblPr>
              <w:tblStyle w:val="8"/>
              <w:tblW w:w="4080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8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4" w:hRule="atLeast"/>
              </w:trPr>
              <w:tc>
                <w:tcPr>
                  <w:tcW w:w="4080" w:type="dxa"/>
                  <w:tcBorders>
                    <w:top w:val="single" w:color="DEE0E3" w:sz="2" w:space="0"/>
                    <w:left w:val="single" w:color="DEE0E3" w:sz="2" w:space="0"/>
                    <w:bottom w:val="single" w:color="DEE0E3" w:sz="2" w:space="0"/>
                    <w:right w:val="single" w:color="DEE0E3" w:sz="2" w:space="0"/>
                  </w:tcBorders>
                  <w:shd w:val="clear" w:color="auto" w:fill="auto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</w:tcPr>
                <w:p>
                  <w:pPr>
                    <w:widowControl/>
                    <w:textAlignment w:val="top"/>
                    <w:rPr>
                      <w:rFonts w:ascii="宋体" w:hAnsi="宋体" w:eastAsia="宋体" w:cs="宋体"/>
                      <w:sz w:val="21"/>
                      <w:szCs w:val="21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 w:bidi="ar"/>
                    </w:rPr>
                    <w:t>服务承诺整体完整严谨，交付时限、售后响应、保密保障等均明确可靠，得8-10分；</w:t>
                  </w:r>
                </w:p>
                <w:p>
                  <w:pPr>
                    <w:widowControl/>
                    <w:textAlignment w:val="top"/>
                    <w:rPr>
                      <w:rFonts w:ascii="宋体" w:hAnsi="宋体" w:eastAsia="宋体" w:cs="宋体"/>
                      <w:sz w:val="21"/>
                      <w:szCs w:val="21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 w:bidi="ar"/>
                    </w:rPr>
                    <w:t>服务承诺整体基本齐全，核心保障条款具备，细节略有欠缺，得5-7分；</w:t>
                  </w:r>
                </w:p>
                <w:p>
                  <w:pPr>
                    <w:widowControl/>
                    <w:textAlignment w:val="top"/>
                    <w:rPr>
                      <w:rFonts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 w:bidi="ar"/>
                    </w:rPr>
                    <w:t>服务承诺整体模糊，关键保障条款缺失，无法有效保障项目实施,得0-4分。</w:t>
                  </w:r>
                </w:p>
              </w:tc>
            </w:tr>
          </w:tbl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0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56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2126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</w:rPr>
      </w:pPr>
    </w:p>
    <w:p>
      <w:pPr>
        <w:spacing w:before="300" w:after="120" w:line="288" w:lineRule="auto"/>
        <w:outlineLvl w:val="2"/>
        <w:rPr>
          <w:rFonts w:ascii="宋体" w:hAnsi="宋体" w:eastAsia="宋体" w:cs="宋体"/>
        </w:rPr>
      </w:pPr>
      <w:bookmarkStart w:id="18" w:name="heading_27"/>
      <w:r>
        <w:rPr>
          <w:rFonts w:hint="eastAsia" w:ascii="宋体" w:hAnsi="宋体" w:eastAsia="宋体" w:cs="宋体"/>
          <w:b/>
          <w:sz w:val="30"/>
        </w:rPr>
        <w:t>（三）评审结果</w:t>
      </w:r>
      <w:bookmarkEnd w:id="18"/>
    </w:p>
    <w:p>
      <w:pPr>
        <w:spacing w:before="120" w:after="120" w:line="360" w:lineRule="auto"/>
        <w:ind w:firstLine="48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评审组按总得分确定１名中选供应商，得分相同的按报价低者优先，报价仍相同的按技术方案优者优先。</w:t>
      </w:r>
    </w:p>
    <w:p>
      <w:pPr>
        <w:spacing w:before="320" w:after="120" w:line="288" w:lineRule="auto"/>
        <w:outlineLvl w:val="1"/>
        <w:rPr>
          <w:rFonts w:ascii="宋体" w:hAnsi="宋体" w:eastAsia="宋体" w:cs="宋体"/>
          <w:lang w:eastAsia="zh-CN"/>
        </w:rPr>
      </w:pPr>
      <w:bookmarkStart w:id="19" w:name="heading_28"/>
      <w:r>
        <w:rPr>
          <w:rFonts w:hint="eastAsia" w:ascii="宋体" w:hAnsi="宋体" w:eastAsia="宋体" w:cs="宋体"/>
          <w:b/>
          <w:sz w:val="32"/>
          <w:lang w:eastAsia="zh-CN"/>
        </w:rPr>
        <w:t>六、服务周期及交付要求</w:t>
      </w:r>
      <w:bookmarkEnd w:id="19"/>
    </w:p>
    <w:p>
      <w:pPr>
        <w:numPr>
          <w:ilvl w:val="0"/>
          <w:numId w:val="8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服务周期：至2026年</w:t>
      </w:r>
      <w:r>
        <w:rPr>
          <w:rFonts w:ascii="宋体" w:hAnsi="宋体" w:eastAsia="宋体" w:cs="宋体"/>
          <w:lang w:val="en" w:eastAsia="zh-CN"/>
        </w:rPr>
        <w:t>3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ascii="宋体" w:hAnsi="宋体" w:eastAsia="宋体" w:cs="宋体"/>
          <w:lang w:val="en" w:eastAsia="zh-CN"/>
        </w:rPr>
        <w:t>31</w:t>
      </w:r>
      <w:r>
        <w:rPr>
          <w:rFonts w:hint="eastAsia" w:ascii="宋体" w:hAnsi="宋体" w:eastAsia="宋体" w:cs="宋体"/>
          <w:lang w:eastAsia="zh-CN"/>
        </w:rPr>
        <w:t>日止，供应商需在2026年</w:t>
      </w:r>
      <w:r>
        <w:rPr>
          <w:rFonts w:ascii="宋体" w:hAnsi="宋体" w:eastAsia="宋体" w:cs="宋体"/>
          <w:lang w:val="en" w:eastAsia="zh-CN"/>
        </w:rPr>
        <w:t>3</w:t>
      </w:r>
      <w:r>
        <w:rPr>
          <w:rFonts w:hint="eastAsia" w:ascii="宋体" w:hAnsi="宋体" w:eastAsia="宋体" w:cs="宋体"/>
          <w:lang w:eastAsia="zh-CN"/>
        </w:rPr>
        <w:t>月15日前提交成果初稿，</w:t>
      </w:r>
      <w:r>
        <w:rPr>
          <w:rFonts w:ascii="宋体" w:hAnsi="宋体" w:eastAsia="宋体" w:cs="宋体"/>
          <w:lang w:val="en" w:eastAsia="zh-CN"/>
        </w:rPr>
        <w:t>3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ascii="宋体" w:hAnsi="宋体" w:eastAsia="宋体" w:cs="宋体"/>
          <w:lang w:val="en" w:eastAsia="zh-CN"/>
        </w:rPr>
        <w:t>31</w:t>
      </w:r>
      <w:r>
        <w:rPr>
          <w:rFonts w:hint="eastAsia" w:ascii="宋体" w:hAnsi="宋体" w:eastAsia="宋体" w:cs="宋体"/>
          <w:lang w:eastAsia="zh-CN"/>
        </w:rPr>
        <w:t>日前提交最终成果。</w:t>
      </w:r>
    </w:p>
    <w:p>
      <w:pPr>
        <w:numPr>
          <w:ilvl w:val="0"/>
          <w:numId w:val="8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交付方式：纸质成果现场递交，电子成果发送至采购人指定邮箱。</w:t>
      </w:r>
    </w:p>
    <w:p>
      <w:pPr>
        <w:numPr>
          <w:ilvl w:val="0"/>
          <w:numId w:val="8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验收标准：成果需满足本比选文件要求，通过采购人组织的评审或审核。</w:t>
      </w:r>
    </w:p>
    <w:p>
      <w:pPr>
        <w:spacing w:before="320" w:after="120" w:line="288" w:lineRule="auto"/>
        <w:outlineLvl w:val="1"/>
        <w:rPr>
          <w:rFonts w:ascii="宋体" w:hAnsi="宋体" w:eastAsia="宋体" w:cs="宋体"/>
          <w:b/>
          <w:sz w:val="32"/>
        </w:rPr>
      </w:pPr>
      <w:bookmarkStart w:id="20" w:name="heading_30"/>
      <w:r>
        <w:rPr>
          <w:rFonts w:hint="eastAsia" w:ascii="宋体" w:hAnsi="宋体" w:eastAsia="宋体" w:cs="宋体"/>
          <w:b/>
          <w:sz w:val="32"/>
          <w:lang w:eastAsia="zh-CN"/>
        </w:rPr>
        <w:t>七</w:t>
      </w:r>
      <w:r>
        <w:rPr>
          <w:rFonts w:hint="eastAsia" w:ascii="宋体" w:hAnsi="宋体" w:eastAsia="宋体" w:cs="宋体"/>
          <w:b/>
          <w:sz w:val="32"/>
        </w:rPr>
        <w:t>、其他事项</w:t>
      </w:r>
      <w:bookmarkEnd w:id="20"/>
    </w:p>
    <w:p>
      <w:pPr>
        <w:numPr>
          <w:ilvl w:val="0"/>
          <w:numId w:val="9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保密要求：供应商需对项目相关资料、数据及成果严格保密，未经采购人书面同意，不得泄露给第三方，保密期限为合同终止后10年。</w:t>
      </w:r>
    </w:p>
    <w:p>
      <w:pPr>
        <w:numPr>
          <w:ilvl w:val="0"/>
          <w:numId w:val="9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需求澄清：供应商对本比选文件有疑问的，需在2026年1月25日前以书面形式提出，采购人将统一答复。</w:t>
      </w:r>
    </w:p>
    <w:p>
      <w:pPr>
        <w:numPr>
          <w:ilvl w:val="0"/>
          <w:numId w:val="9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合同签订：中选供应商收到中选通知后</w:t>
      </w:r>
      <w:r>
        <w:rPr>
          <w:rFonts w:ascii="宋体" w:hAnsi="宋体" w:eastAsia="宋体" w:cs="宋体"/>
          <w:lang w:val="en" w:eastAsia="zh-CN"/>
        </w:rPr>
        <w:t>20</w:t>
      </w:r>
      <w:r>
        <w:rPr>
          <w:rFonts w:hint="eastAsia" w:ascii="宋体" w:hAnsi="宋体" w:eastAsia="宋体" w:cs="宋体"/>
          <w:lang w:eastAsia="zh-CN"/>
        </w:rPr>
        <w:t>个工作日内，与采购人签订服务合同。</w:t>
      </w:r>
    </w:p>
    <w:p>
      <w:pPr>
        <w:numPr>
          <w:ilvl w:val="0"/>
          <w:numId w:val="9"/>
        </w:numPr>
        <w:spacing w:before="120" w:after="120" w:line="36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本比选文件的最终解释权归中国工程院战略咨询中心所有。</w:t>
      </w:r>
    </w:p>
    <w:p>
      <w:pPr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br w:type="page"/>
      </w:r>
    </w:p>
    <w:p>
      <w:pPr>
        <w:spacing w:before="320" w:after="120" w:line="288" w:lineRule="auto"/>
        <w:outlineLvl w:val="1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val="en-US" w:eastAsia="zh-CN"/>
        </w:rPr>
        <w:t>附件1</w:t>
      </w:r>
    </w:p>
    <w:p>
      <w:pPr>
        <w:widowControl w:val="0"/>
        <w:numPr>
          <w:ilvl w:val="0"/>
          <w:numId w:val="0"/>
        </w:numPr>
        <w:spacing w:before="120" w:after="120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120" w:after="120"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报价函</w:t>
      </w:r>
    </w:p>
    <w:p>
      <w:pPr>
        <w:spacing w:line="400" w:lineRule="exact"/>
        <w:ind w:left="3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（采购人名称）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spacing w:line="400" w:lineRule="exact"/>
        <w:ind w:left="360" w:leftChars="15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根据贵方为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kern w:val="0"/>
          <w:sz w:val="24"/>
          <w:szCs w:val="24"/>
        </w:rPr>
        <w:t>采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购</w:t>
      </w:r>
      <w:r>
        <w:rPr>
          <w:rFonts w:hint="eastAsia" w:ascii="宋体" w:hAnsi="宋体" w:eastAsia="宋体" w:cs="宋体"/>
          <w:kern w:val="0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全</w:t>
      </w:r>
      <w:r>
        <w:rPr>
          <w:rFonts w:hint="eastAsia" w:ascii="宋体" w:hAnsi="宋体" w:eastAsia="宋体" w:cs="宋体"/>
          <w:kern w:val="0"/>
          <w:sz w:val="24"/>
          <w:szCs w:val="24"/>
        </w:rPr>
        <w:t>部内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我方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愿</w:t>
      </w:r>
      <w:r>
        <w:rPr>
          <w:rFonts w:hint="eastAsia" w:ascii="宋体" w:hAnsi="宋体" w:eastAsia="宋体" w:cs="宋体"/>
          <w:kern w:val="0"/>
          <w:sz w:val="24"/>
          <w:szCs w:val="24"/>
        </w:rPr>
        <w:t>意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以</w:t>
      </w:r>
      <w:r>
        <w:rPr>
          <w:rFonts w:hint="eastAsia" w:ascii="宋体" w:hAnsi="宋体" w:eastAsia="宋体" w:cs="宋体"/>
          <w:kern w:val="0"/>
          <w:sz w:val="24"/>
          <w:szCs w:val="24"/>
        </w:rPr>
        <w:t>人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民</w:t>
      </w:r>
      <w:r>
        <w:rPr>
          <w:rFonts w:hint="eastAsia" w:ascii="宋体" w:hAnsi="宋体" w:eastAsia="宋体" w:cs="宋体"/>
          <w:spacing w:val="-13"/>
          <w:kern w:val="0"/>
          <w:sz w:val="24"/>
          <w:szCs w:val="24"/>
        </w:rPr>
        <w:t>币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大</w:t>
      </w:r>
      <w:r>
        <w:rPr>
          <w:rFonts w:hint="eastAsia" w:ascii="宋体" w:hAnsi="宋体" w:eastAsia="宋体" w:cs="宋体"/>
          <w:kern w:val="0"/>
          <w:sz w:val="24"/>
          <w:szCs w:val="24"/>
        </w:rPr>
        <w:t>写</w:t>
      </w:r>
      <w:r>
        <w:rPr>
          <w:rFonts w:hint="eastAsia" w:ascii="宋体" w:hAnsi="宋体" w:eastAsia="宋体" w:cs="宋体"/>
          <w:spacing w:val="-12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12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-12"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-12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小写：</w:t>
      </w:r>
      <w:r>
        <w:rPr>
          <w:rFonts w:hint="eastAsia" w:ascii="宋体" w:hAnsi="宋体" w:eastAsia="宋体" w:cs="宋体"/>
          <w:kern w:val="0"/>
          <w:sz w:val="24"/>
          <w:szCs w:val="24"/>
        </w:rPr>
        <w:t>¥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元</w:t>
      </w:r>
      <w:r>
        <w:rPr>
          <w:rFonts w:hint="eastAsia" w:ascii="宋体" w:hAnsi="宋体" w:eastAsia="宋体" w:cs="宋体"/>
          <w:spacing w:val="-13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1"/>
          <w:kern w:val="0"/>
          <w:sz w:val="24"/>
          <w:szCs w:val="24"/>
        </w:rPr>
        <w:t>的总</w:t>
      </w:r>
      <w:r>
        <w:rPr>
          <w:rFonts w:hint="eastAsia" w:ascii="宋体" w:hAnsi="宋体" w:eastAsia="宋体" w:cs="宋体"/>
          <w:kern w:val="0"/>
          <w:sz w:val="24"/>
          <w:szCs w:val="24"/>
        </w:rPr>
        <w:t>报</w:t>
      </w:r>
      <w:r>
        <w:rPr>
          <w:rFonts w:hint="eastAsia" w:ascii="宋体" w:hAnsi="宋体" w:eastAsia="宋体" w:cs="宋体"/>
          <w:spacing w:val="-13"/>
          <w:kern w:val="0"/>
          <w:sz w:val="24"/>
          <w:szCs w:val="24"/>
        </w:rPr>
        <w:t>价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（其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中</w:t>
      </w:r>
      <w:r>
        <w:rPr>
          <w:rFonts w:hint="eastAsia" w:ascii="宋体" w:hAnsi="宋体" w:eastAsia="宋体" w:cs="宋体"/>
          <w:spacing w:val="-13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增值税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税</w:t>
      </w:r>
      <w:r>
        <w:rPr>
          <w:rFonts w:hint="eastAsia" w:ascii="宋体" w:hAnsi="宋体" w:eastAsia="宋体" w:cs="宋体"/>
          <w:kern w:val="0"/>
          <w:sz w:val="24"/>
          <w:szCs w:val="24"/>
        </w:rPr>
        <w:t>率</w:t>
      </w:r>
      <w:r>
        <w:rPr>
          <w:rFonts w:hint="eastAsia" w:ascii="宋体" w:hAnsi="宋体" w:eastAsia="宋体" w:cs="宋体"/>
          <w:spacing w:val="-1"/>
          <w:kern w:val="0"/>
          <w:sz w:val="24"/>
          <w:szCs w:val="24"/>
        </w:rPr>
        <w:t>为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1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提供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技</w:t>
      </w:r>
      <w:r>
        <w:rPr>
          <w:rFonts w:hint="eastAsia" w:ascii="宋体" w:hAnsi="宋体" w:eastAsia="宋体" w:cs="宋体"/>
          <w:kern w:val="0"/>
          <w:sz w:val="24"/>
          <w:szCs w:val="24"/>
        </w:rPr>
        <w:t>术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</w:rPr>
        <w:t>服</w:t>
      </w:r>
      <w:r>
        <w:rPr>
          <w:rFonts w:hint="eastAsia" w:ascii="宋体" w:hAnsi="宋体" w:eastAsia="宋体" w:cs="宋体"/>
          <w:kern w:val="0"/>
          <w:sz w:val="24"/>
          <w:szCs w:val="24"/>
        </w:rPr>
        <w:t>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并按合同约定履行义务。</w:t>
      </w:r>
    </w:p>
    <w:p>
      <w:pPr>
        <w:spacing w:line="400" w:lineRule="exact"/>
        <w:ind w:left="3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据此函，签字代表宣布同意如下：</w:t>
      </w:r>
    </w:p>
    <w:p>
      <w:pPr>
        <w:spacing w:line="400" w:lineRule="exact"/>
        <w:ind w:left="3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1、所附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一览表确定的服务报价。</w:t>
      </w:r>
    </w:p>
    <w:p>
      <w:pPr>
        <w:spacing w:line="400" w:lineRule="exact"/>
        <w:ind w:left="3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2、比选响应人将按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文件的规定履行合同责任和义务。</w:t>
      </w:r>
    </w:p>
    <w:p>
      <w:pPr>
        <w:spacing w:line="400" w:lineRule="exact"/>
        <w:ind w:left="3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人已详细审查全部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文件和有关附件。我们完全理解并同意放弃对这方面有不明及误解的权利。</w:t>
      </w:r>
    </w:p>
    <w:p>
      <w:pPr>
        <w:spacing w:line="400" w:lineRule="exact"/>
        <w:ind w:left="3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4、其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日起有效期为180个日历日。</w:t>
      </w:r>
    </w:p>
    <w:p>
      <w:pPr>
        <w:spacing w:line="400" w:lineRule="exact"/>
        <w:ind w:left="3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人同意提供按照贵方可能要求的与其有关的一切数据或资料。</w:t>
      </w:r>
    </w:p>
    <w:p>
      <w:pPr>
        <w:spacing w:line="400" w:lineRule="exact"/>
        <w:ind w:left="3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、除非另外达成协议并生效，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通知书和本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文件将成为约束双方的合同文件的组成部分。</w:t>
      </w:r>
    </w:p>
    <w:p>
      <w:pPr>
        <w:tabs>
          <w:tab w:val="left" w:pos="7560"/>
        </w:tabs>
        <w:spacing w:line="400" w:lineRule="exact"/>
        <w:ind w:firstLine="360" w:firstLineChars="15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tabs>
          <w:tab w:val="left" w:pos="7560"/>
        </w:tabs>
        <w:spacing w:line="400" w:lineRule="exact"/>
        <w:ind w:firstLine="360" w:firstLineChars="150"/>
        <w:jc w:val="right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     （盖章）</w:t>
      </w:r>
    </w:p>
    <w:p>
      <w:pPr>
        <w:spacing w:line="400" w:lineRule="exact"/>
        <w:ind w:left="315" w:firstLine="2640" w:firstLineChars="11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单位地址：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</w:t>
      </w:r>
    </w:p>
    <w:p>
      <w:pPr>
        <w:spacing w:line="400" w:lineRule="exact"/>
        <w:ind w:left="315"/>
        <w:jc w:val="right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法定代表人或其委托代理人：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（签字或盖章）</w:t>
      </w:r>
    </w:p>
    <w:p>
      <w:pPr>
        <w:spacing w:line="400" w:lineRule="exact"/>
        <w:ind w:firstLine="2880" w:firstLineChars="1200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邮政编码：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电  话：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</w:p>
    <w:p>
      <w:pPr>
        <w:spacing w:line="400" w:lineRule="exact"/>
        <w:ind w:firstLine="2880" w:firstLineChars="1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开户银行名称：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</w:p>
    <w:p>
      <w:pPr>
        <w:spacing w:line="400" w:lineRule="exact"/>
        <w:ind w:firstLine="2880" w:firstLineChars="1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开户银行账号：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</w:p>
    <w:p>
      <w:pPr>
        <w:spacing w:line="400" w:lineRule="exact"/>
        <w:ind w:left="315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        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>
      <w:pPr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eastAsia="宋体"/>
          <w:b/>
          <w:bCs/>
          <w:w w:val="90"/>
          <w:sz w:val="24"/>
          <w:szCs w:val="24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w w:val="9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w w:val="90"/>
          <w:sz w:val="32"/>
          <w:szCs w:val="32"/>
          <w:lang w:eastAsia="zh-CN"/>
        </w:rPr>
        <w:t>一览表</w:t>
      </w:r>
    </w:p>
    <w:p>
      <w:pPr>
        <w:spacing w:line="360" w:lineRule="auto"/>
        <w:rPr>
          <w:rFonts w:hint="eastAsia"/>
          <w:szCs w:val="28"/>
          <w:lang w:eastAsia="zh-CN"/>
        </w:rPr>
      </w:pPr>
    </w:p>
    <w:p>
      <w:pPr>
        <w:spacing w:line="360" w:lineRule="auto"/>
        <w:rPr>
          <w:rFonts w:hint="eastAsia"/>
          <w:szCs w:val="28"/>
          <w:lang w:eastAsia="zh-CN"/>
        </w:rPr>
      </w:pPr>
    </w:p>
    <w:p>
      <w:pPr>
        <w:spacing w:line="360" w:lineRule="auto"/>
        <w:rPr>
          <w:szCs w:val="28"/>
        </w:rPr>
      </w:pPr>
      <w:r>
        <w:rPr>
          <w:rFonts w:hint="eastAsia"/>
          <w:szCs w:val="28"/>
        </w:rPr>
        <w:t xml:space="preserve">                                             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2934"/>
        <w:gridCol w:w="209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比选响应</w:t>
            </w:r>
            <w:r>
              <w:rPr>
                <w:szCs w:val="28"/>
                <w:lang w:eastAsia="zh-CN"/>
              </w:rPr>
              <w:t>人</w:t>
            </w:r>
          </w:p>
        </w:tc>
        <w:tc>
          <w:tcPr>
            <w:tcW w:w="6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项目名称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总价（元）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税及其它说明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总建设期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含</w:t>
            </w:r>
            <w:r>
              <w:rPr>
                <w:rFonts w:hint="eastAsia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szCs w:val="28"/>
              </w:rPr>
              <w:t>%增值税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总价大写：</w:t>
            </w:r>
          </w:p>
        </w:tc>
        <w:tc>
          <w:tcPr>
            <w:tcW w:w="6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</w:tbl>
    <w:p>
      <w:pPr>
        <w:ind w:left="180"/>
        <w:rPr>
          <w:szCs w:val="28"/>
        </w:rPr>
      </w:pPr>
      <w:r>
        <w:rPr>
          <w:szCs w:val="28"/>
        </w:rPr>
        <w:t> </w:t>
      </w:r>
    </w:p>
    <w:p>
      <w:pPr>
        <w:spacing w:line="360" w:lineRule="auto"/>
        <w:rPr>
          <w:szCs w:val="28"/>
        </w:rPr>
      </w:pPr>
    </w:p>
    <w:p>
      <w:pPr>
        <w:tabs>
          <w:tab w:val="left" w:pos="1420"/>
        </w:tabs>
        <w:adjustRightInd w:val="0"/>
        <w:snapToGrid w:val="0"/>
        <w:spacing w:line="360" w:lineRule="auto"/>
        <w:ind w:left="660" w:hanging="720" w:hangingChars="300"/>
        <w:rPr>
          <w:szCs w:val="21"/>
        </w:rPr>
      </w:pPr>
    </w:p>
    <w:p>
      <w:pPr>
        <w:spacing w:line="360" w:lineRule="auto"/>
        <w:rPr>
          <w:szCs w:val="28"/>
          <w:lang w:eastAsia="zh-CN"/>
        </w:rPr>
      </w:pPr>
    </w:p>
    <w:p>
      <w:pPr>
        <w:spacing w:line="360" w:lineRule="auto"/>
        <w:rPr>
          <w:szCs w:val="28"/>
          <w:lang w:eastAsia="zh-CN"/>
        </w:rPr>
      </w:pPr>
    </w:p>
    <w:p>
      <w:pPr>
        <w:spacing w:line="360" w:lineRule="auto"/>
        <w:rPr>
          <w:szCs w:val="28"/>
          <w:lang w:eastAsia="zh-CN"/>
        </w:rPr>
      </w:pPr>
    </w:p>
    <w:p>
      <w:pPr>
        <w:ind w:left="180"/>
        <w:rPr>
          <w:szCs w:val="28"/>
          <w:lang w:eastAsia="zh-CN"/>
        </w:rPr>
      </w:pPr>
      <w:r>
        <w:rPr>
          <w:szCs w:val="28"/>
          <w:lang w:eastAsia="zh-CN"/>
        </w:rPr>
        <w:t> </w:t>
      </w:r>
    </w:p>
    <w:p>
      <w:pPr>
        <w:spacing w:line="440" w:lineRule="exact"/>
        <w:jc w:val="right"/>
        <w:rPr>
          <w:szCs w:val="28"/>
          <w:lang w:eastAsia="zh-CN"/>
        </w:rPr>
      </w:pPr>
      <w:r>
        <w:rPr>
          <w:rFonts w:hint="eastAsia"/>
          <w:szCs w:val="28"/>
          <w:lang w:val="en-US" w:eastAsia="zh-CN"/>
        </w:rPr>
        <w:t>比选响应</w:t>
      </w:r>
      <w:r>
        <w:rPr>
          <w:szCs w:val="28"/>
          <w:lang w:eastAsia="zh-CN"/>
        </w:rPr>
        <w:t>人：</w:t>
      </w:r>
      <w:r>
        <w:rPr>
          <w:rFonts w:hint="eastAsia"/>
          <w:szCs w:val="28"/>
          <w:u w:val="single"/>
          <w:lang w:val="en-US" w:eastAsia="zh-CN"/>
        </w:rPr>
        <w:t xml:space="preserve">                           </w:t>
      </w:r>
      <w:r>
        <w:rPr>
          <w:szCs w:val="28"/>
          <w:u w:val="single"/>
          <w:lang w:eastAsia="zh-CN"/>
        </w:rPr>
        <w:t>（盖公章）</w:t>
      </w:r>
    </w:p>
    <w:p>
      <w:pPr>
        <w:spacing w:line="440" w:lineRule="exact"/>
        <w:jc w:val="right"/>
        <w:rPr>
          <w:szCs w:val="28"/>
          <w:lang w:eastAsia="zh-CN"/>
        </w:rPr>
      </w:pPr>
      <w:r>
        <w:rPr>
          <w:szCs w:val="28"/>
          <w:lang w:eastAsia="zh-CN"/>
        </w:rPr>
        <w:t>法人代表或其授权人：</w:t>
      </w:r>
      <w:r>
        <w:rPr>
          <w:rFonts w:hint="eastAsia"/>
          <w:szCs w:val="28"/>
          <w:u w:val="single"/>
          <w:lang w:val="en-US" w:eastAsia="zh-CN"/>
        </w:rPr>
        <w:t xml:space="preserve">             </w:t>
      </w:r>
      <w:r>
        <w:rPr>
          <w:szCs w:val="28"/>
          <w:u w:val="single"/>
          <w:lang w:eastAsia="zh-CN"/>
        </w:rPr>
        <w:t>（签字/盖章）</w:t>
      </w:r>
    </w:p>
    <w:p>
      <w:pPr>
        <w:spacing w:line="440" w:lineRule="exact"/>
        <w:jc w:val="center"/>
        <w:rPr>
          <w:szCs w:val="28"/>
          <w:lang w:eastAsia="zh-CN"/>
        </w:rPr>
      </w:pPr>
      <w:r>
        <w:rPr>
          <w:rFonts w:hint="default"/>
          <w:szCs w:val="28"/>
          <w:lang w:val="en" w:eastAsia="zh-CN"/>
        </w:rPr>
        <w:t xml:space="preserve">                         </w:t>
      </w:r>
      <w:r>
        <w:rPr>
          <w:szCs w:val="28"/>
          <w:lang w:eastAsia="zh-CN"/>
        </w:rPr>
        <w:t>日期：</w:t>
      </w:r>
    </w:p>
    <w:p>
      <w:pPr>
        <w:rPr>
          <w:rFonts w:hint="default" w:eastAsia="黑体"/>
          <w:szCs w:val="28"/>
          <w:lang w:val="en" w:eastAsia="zh-CN"/>
        </w:rPr>
        <w:sectPr>
          <w:headerReference r:id="rId3" w:type="default"/>
          <w:footerReference r:id="rId4" w:type="default"/>
          <w:pgSz w:w="11907" w:h="16840"/>
          <w:pgMar w:top="1440" w:right="1080" w:bottom="1440" w:left="1080" w:header="851" w:footer="992" w:gutter="0"/>
          <w:cols w:space="720" w:num="1"/>
          <w:docGrid w:linePitch="312" w:charSpace="0"/>
        </w:sectPr>
      </w:pPr>
      <w:r>
        <w:rPr>
          <w:rFonts w:hint="default" w:eastAsia="黑体"/>
          <w:szCs w:val="28"/>
          <w:lang w:val="en" w:eastAsia="zh-CN"/>
        </w:rPr>
        <w:t xml:space="preserve">       </w:t>
      </w:r>
    </w:p>
    <w:p>
      <w:pPr>
        <w:widowControl w:val="0"/>
        <w:numPr>
          <w:ilvl w:val="0"/>
          <w:numId w:val="0"/>
        </w:numPr>
        <w:spacing w:before="120" w:after="120" w:line="360" w:lineRule="auto"/>
        <w:rPr>
          <w:rFonts w:hint="eastAsia" w:ascii="宋体" w:hAnsi="宋体" w:eastAsia="宋体" w:cs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9IkRN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3"/>
      </w:pBdr>
      <w:jc w:val="both"/>
      <w:rPr>
        <w:rFonts w:eastAsia="宋体"/>
        <w:lang w:eastAsia="zh-CN"/>
      </w:rPr>
    </w:pPr>
    <w:r>
      <w:rPr>
        <w:lang w:eastAsia="zh-CN"/>
      </w:rPr>
      <w:t xml:space="preserve"> </w:t>
    </w:r>
    <w:r>
      <w:rPr>
        <w:rFonts w:hint="eastAsia"/>
        <w:lang w:eastAsia="zh-CN"/>
      </w:rPr>
      <w:t xml:space="preserve">                                                 </w:t>
    </w:r>
    <w:r>
      <w:rPr>
        <w:lang w:eastAsia="zh-CN"/>
      </w:rPr>
      <w:t xml:space="preserve"> </w:t>
    </w:r>
    <w:r>
      <w:rPr>
        <w:rFonts w:hint="eastAsia"/>
        <w:lang w:eastAsia="zh-CN"/>
      </w:rPr>
      <w:t xml:space="preserve">      </w:t>
    </w:r>
    <w:r>
      <w:rPr>
        <w:lang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3761"/>
    <w:multiLevelType w:val="singleLevel"/>
    <w:tmpl w:val="892337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1336C99"/>
    <w:multiLevelType w:val="singleLevel"/>
    <w:tmpl w:val="B1336C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358CE53"/>
    <w:multiLevelType w:val="singleLevel"/>
    <w:tmpl w:val="C358CE5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9A992B7"/>
    <w:multiLevelType w:val="singleLevel"/>
    <w:tmpl w:val="C9A992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9FF228A"/>
    <w:multiLevelType w:val="singleLevel"/>
    <w:tmpl w:val="E9FF22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408DC08"/>
    <w:multiLevelType w:val="singleLevel"/>
    <w:tmpl w:val="F408DC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75184B1"/>
    <w:multiLevelType w:val="singleLevel"/>
    <w:tmpl w:val="F75184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2D59686F"/>
    <w:multiLevelType w:val="singleLevel"/>
    <w:tmpl w:val="2D5968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611905DC"/>
    <w:multiLevelType w:val="singleLevel"/>
    <w:tmpl w:val="611905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2C"/>
    <w:rsid w:val="000C144C"/>
    <w:rsid w:val="00741D6E"/>
    <w:rsid w:val="0091733C"/>
    <w:rsid w:val="009C7ADC"/>
    <w:rsid w:val="00B34D2C"/>
    <w:rsid w:val="00D53574"/>
    <w:rsid w:val="01CF39B1"/>
    <w:rsid w:val="1BE1112B"/>
    <w:rsid w:val="20B9392B"/>
    <w:rsid w:val="315829C8"/>
    <w:rsid w:val="370761C9"/>
    <w:rsid w:val="37267484"/>
    <w:rsid w:val="3BDF2A87"/>
    <w:rsid w:val="3D5BBE77"/>
    <w:rsid w:val="423D3255"/>
    <w:rsid w:val="5A3F0D60"/>
    <w:rsid w:val="5FF7C80A"/>
    <w:rsid w:val="62C3214D"/>
    <w:rsid w:val="64923598"/>
    <w:rsid w:val="67A45ABC"/>
    <w:rsid w:val="6F1978F4"/>
    <w:rsid w:val="77D57358"/>
    <w:rsid w:val="7A9861CB"/>
    <w:rsid w:val="7E7BFA53"/>
    <w:rsid w:val="7FFF914F"/>
    <w:rsid w:val="DBFF64CB"/>
    <w:rsid w:val="DEFD77AB"/>
    <w:rsid w:val="F5C5A7EA"/>
    <w:rsid w:val="FFFBC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7">
    <w:name w:val="annotation subject"/>
    <w:basedOn w:val="2"/>
    <w:next w:val="2"/>
    <w:link w:val="2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Heading #1|1"/>
    <w:basedOn w:val="1"/>
    <w:qFormat/>
    <w:uiPriority w:val="0"/>
    <w:pPr>
      <w:spacing w:before="140" w:after="260"/>
      <w:jc w:val="center"/>
      <w:outlineLvl w:val="0"/>
    </w:pPr>
    <w:rPr>
      <w:rFonts w:ascii="宋体" w:hAnsi="宋体" w:eastAsia="宋体" w:cs="宋体"/>
      <w:color w:val="F44B45"/>
      <w:sz w:val="60"/>
      <w:szCs w:val="60"/>
      <w:u w:val="single"/>
      <w:lang w:val="zh-TW" w:eastAsia="zh-TW" w:bidi="zh-TW"/>
    </w:rPr>
  </w:style>
  <w:style w:type="paragraph" w:customStyle="1" w:styleId="12">
    <w:name w:val="Heading #2|1"/>
    <w:basedOn w:val="1"/>
    <w:qFormat/>
    <w:uiPriority w:val="0"/>
    <w:pPr>
      <w:spacing w:after="980"/>
      <w:jc w:val="center"/>
      <w:outlineLvl w:val="1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spacing w:after="160" w:line="432" w:lineRule="auto"/>
      <w:ind w:firstLine="36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4">
    <w:name w:val="Other|2"/>
    <w:basedOn w:val="1"/>
    <w:qFormat/>
    <w:uiPriority w:val="0"/>
    <w:pPr>
      <w:ind w:firstLine="36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5">
    <w:name w:val="Other|1"/>
    <w:basedOn w:val="1"/>
    <w:qFormat/>
    <w:uiPriority w:val="0"/>
    <w:pPr>
      <w:spacing w:after="160" w:line="432" w:lineRule="auto"/>
      <w:ind w:firstLine="36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6">
    <w:name w:val="17babae4-54f0-44fa-a444-1068224df0ac"/>
    <w:basedOn w:val="6"/>
    <w:next w:val="17"/>
    <w:qFormat/>
    <w:uiPriority w:val="0"/>
    <w:pPr>
      <w:adjustRightInd w:val="0"/>
      <w:spacing w:after="0" w:line="288" w:lineRule="auto"/>
      <w:outlineLvl w:val="0"/>
    </w:pPr>
    <w:rPr>
      <w:rFonts w:ascii="微软雅黑" w:hAnsi="微软雅黑" w:eastAsia="微软雅黑"/>
      <w:b/>
      <w:sz w:val="40"/>
      <w:szCs w:val="28"/>
    </w:rPr>
  </w:style>
  <w:style w:type="paragraph" w:customStyle="1" w:styleId="17">
    <w:name w:val="acbfdd8b-e11b-4d36-88ff-6049b138f862"/>
    <w:basedOn w:val="1"/>
    <w:qFormat/>
    <w:uiPriority w:val="0"/>
    <w:pPr>
      <w:adjustRightInd w:val="0"/>
      <w:spacing w:line="288" w:lineRule="auto"/>
    </w:pPr>
    <w:rPr>
      <w:rFonts w:ascii="微软雅黑" w:hAnsi="微软雅黑" w:eastAsia="微软雅黑"/>
      <w:sz w:val="22"/>
      <w:szCs w:val="28"/>
    </w:rPr>
  </w:style>
  <w:style w:type="character" w:customStyle="1" w:styleId="18">
    <w:name w:val="页眉 Char"/>
    <w:basedOn w:val="9"/>
    <w:link w:val="5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9">
    <w:name w:val="页脚 Char"/>
    <w:basedOn w:val="9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0">
    <w:name w:val="批注框文本 Char"/>
    <w:basedOn w:val="9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文字 Char"/>
    <w:basedOn w:val="9"/>
    <w:link w:val="2"/>
    <w:qFormat/>
    <w:uiPriority w:val="0"/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22">
    <w:name w:val="批注主题 Char"/>
    <w:basedOn w:val="21"/>
    <w:link w:val="7"/>
    <w:qFormat/>
    <w:uiPriority w:val="0"/>
    <w:rPr>
      <w:rFonts w:eastAsia="Times New Roman"/>
      <w:b/>
      <w:bCs/>
      <w:color w:val="00000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2714</Words>
  <Characters>2831</Characters>
  <Lines>23</Lines>
  <Paragraphs>6</Paragraphs>
  <TotalTime>1</TotalTime>
  <ScaleCrop>false</ScaleCrop>
  <LinksUpToDate>false</LinksUpToDate>
  <CharactersWithSpaces>3262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2026-01-17T11:49:00Z</dcterms:created>
  <dc:creator>Lenovo</dc:creator>
  <cp:lastModifiedBy>qiming</cp:lastModifiedBy>
  <dcterms:modified xsi:type="dcterms:W3CDTF">2026-01-29T08:54:42Z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eyJoZGlkIjoiMGJkNTgxZjQwY2EwMmQ3MmE1YTJhOGI4NGRmNzhmNDQiLCJ1c2VySWQiOiIxMDQ3NDQ2Mzc4In0=</vt:lpwstr>
  </property>
  <property fmtid="{D5CDD505-2E9C-101B-9397-08002B2CF9AE}" pid="4" name="ICV">
    <vt:lpwstr>469469F5510B424E8DA22ACF8339CFF1_12</vt:lpwstr>
  </property>
</Properties>
</file>